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16FC" w14:textId="77777777" w:rsidR="00A544FA" w:rsidRPr="00A544FA" w:rsidRDefault="00A544FA" w:rsidP="00A544FA">
      <w:pPr>
        <w:spacing w:after="218"/>
        <w:ind w:left="-5"/>
      </w:pPr>
      <w:bookmarkStart w:id="0" w:name="_GoBack"/>
      <w:bookmarkEnd w:id="0"/>
      <w:r w:rsidRPr="00A544FA">
        <w:rPr>
          <w:b/>
          <w:u w:val="single" w:color="000000"/>
        </w:rPr>
        <w:t>Post Results Services 2024 Guide for Students</w:t>
      </w:r>
      <w:r w:rsidRPr="00A544FA">
        <w:rPr>
          <w:b/>
        </w:rPr>
        <w:t xml:space="preserve"> </w:t>
      </w:r>
    </w:p>
    <w:p w14:paraId="579837FA" w14:textId="77777777" w:rsidR="00A544FA" w:rsidRDefault="00A544FA" w:rsidP="00A544FA">
      <w:pPr>
        <w:ind w:left="-5"/>
        <w:rPr>
          <w:sz w:val="20"/>
          <w:szCs w:val="20"/>
        </w:rPr>
      </w:pPr>
      <w:r w:rsidRPr="00A544FA">
        <w:rPr>
          <w:b/>
          <w:bCs/>
          <w:color w:val="auto"/>
          <w:sz w:val="20"/>
          <w:szCs w:val="20"/>
        </w:rPr>
        <w:t>Enquiry About Results (EAR)</w:t>
      </w:r>
      <w:r w:rsidRPr="00A544F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- </w:t>
      </w:r>
      <w:r w:rsidRPr="00A544FA">
        <w:rPr>
          <w:sz w:val="20"/>
          <w:szCs w:val="20"/>
        </w:rPr>
        <w:t xml:space="preserve">If you are unhappy with the grade of one or more of your exam papers, you may wish to consider one of the following: - </w:t>
      </w:r>
    </w:p>
    <w:p w14:paraId="7F671501" w14:textId="77777777" w:rsidR="00A544FA" w:rsidRDefault="00A544FA" w:rsidP="00A544FA">
      <w:pPr>
        <w:ind w:left="-5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622"/>
        <w:gridCol w:w="1100"/>
        <w:gridCol w:w="1664"/>
        <w:gridCol w:w="1850"/>
      </w:tblGrid>
      <w:tr w:rsidR="00A544FA" w14:paraId="37859504" w14:textId="77777777" w:rsidTr="00E82704">
        <w:tc>
          <w:tcPr>
            <w:tcW w:w="3119" w:type="dxa"/>
          </w:tcPr>
          <w:p w14:paraId="13F89A53" w14:textId="41FEFA8C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622" w:type="dxa"/>
          </w:tcPr>
          <w:p w14:paraId="43450C43" w14:textId="018A6CC1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How to Make Request</w:t>
            </w:r>
          </w:p>
        </w:tc>
        <w:tc>
          <w:tcPr>
            <w:tcW w:w="1100" w:type="dxa"/>
          </w:tcPr>
          <w:p w14:paraId="4AF44353" w14:textId="36C8872A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1664" w:type="dxa"/>
          </w:tcPr>
          <w:p w14:paraId="17C7B0F4" w14:textId="69D581CB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1850" w:type="dxa"/>
          </w:tcPr>
          <w:p w14:paraId="62DC4666" w14:textId="5E2682C7" w:rsidR="00A544FA" w:rsidRPr="00A544FA" w:rsidRDefault="00A544FA" w:rsidP="00A544F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Other Notes</w:t>
            </w:r>
          </w:p>
        </w:tc>
      </w:tr>
      <w:tr w:rsidR="00A544FA" w14:paraId="5206871A" w14:textId="77777777" w:rsidTr="00E82704">
        <w:tc>
          <w:tcPr>
            <w:tcW w:w="3119" w:type="dxa"/>
          </w:tcPr>
          <w:p w14:paraId="3E7CA283" w14:textId="77777777" w:rsidR="00E82704" w:rsidRDefault="00E82704" w:rsidP="00E82704">
            <w:pPr>
              <w:spacing w:after="5" w:line="235" w:lineRule="auto"/>
              <w:ind w:left="5" w:right="16" w:firstLine="0"/>
            </w:pPr>
            <w:r>
              <w:rPr>
                <w:b/>
                <w:color w:val="0070C0"/>
                <w:sz w:val="20"/>
              </w:rPr>
              <w:t xml:space="preserve">Service 1 </w:t>
            </w:r>
            <w:r>
              <w:rPr>
                <w:b/>
                <w:sz w:val="20"/>
              </w:rPr>
              <w:t>Clerical Re-check</w:t>
            </w:r>
            <w:r>
              <w:rPr>
                <w:b/>
                <w:sz w:val="20"/>
              </w:rPr>
              <w:t xml:space="preserve"> - </w:t>
            </w:r>
            <w:r>
              <w:rPr>
                <w:sz w:val="20"/>
              </w:rPr>
              <w:t xml:space="preserve">This is a re-check of all clerical procedures leading to the issue of a result.  </w:t>
            </w:r>
          </w:p>
          <w:p w14:paraId="1AB28BC1" w14:textId="4E734FE2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033B2520" w14:textId="77777777" w:rsidR="00E82704" w:rsidRDefault="00E82704" w:rsidP="00E82704">
            <w:pPr>
              <w:spacing w:line="236" w:lineRule="auto"/>
              <w:ind w:left="1" w:right="42" w:firstLine="0"/>
            </w:pPr>
            <w:r>
              <w:rPr>
                <w:sz w:val="20"/>
              </w:rPr>
              <w:t xml:space="preserve">Complete the form, available on the school website, or from the exams officer. Return to the exams officer and make payment by the deadline date. </w:t>
            </w:r>
          </w:p>
          <w:p w14:paraId="0F0BE192" w14:textId="77777777" w:rsidR="00E82704" w:rsidRDefault="00E82704" w:rsidP="00E82704">
            <w:r>
              <w:rPr>
                <w:sz w:val="20"/>
              </w:rPr>
              <w:t xml:space="preserve"> A list of fees will be available on the school website. </w:t>
            </w:r>
          </w:p>
          <w:p w14:paraId="4EA821A9" w14:textId="5D8FF7A8" w:rsidR="00A544FA" w:rsidRDefault="00A544FA" w:rsidP="00E8270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320333A" w14:textId="2C2E2CA0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DB311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B3112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664" w:type="dxa"/>
          </w:tcPr>
          <w:p w14:paraId="6F542B03" w14:textId="47CB5BEE" w:rsidR="00E82704" w:rsidRDefault="00E82704" w:rsidP="00E82704">
            <w:pPr>
              <w:spacing w:line="236" w:lineRule="auto"/>
              <w:ind w:left="0" w:right="31" w:firstLine="0"/>
            </w:pPr>
            <w:r>
              <w:rPr>
                <w:sz w:val="20"/>
              </w:rPr>
              <w:t>W</w:t>
            </w:r>
            <w:r>
              <w:rPr>
                <w:sz w:val="20"/>
              </w:rPr>
              <w:t xml:space="preserve">ithin 10 calendar days of the awarding body </w:t>
            </w:r>
          </w:p>
          <w:p w14:paraId="0B02F4A0" w14:textId="77777777" w:rsidR="00E82704" w:rsidRDefault="00E82704" w:rsidP="00E82704">
            <w:pPr>
              <w:ind w:left="0" w:firstLine="0"/>
            </w:pPr>
            <w:r>
              <w:rPr>
                <w:sz w:val="20"/>
              </w:rPr>
              <w:t xml:space="preserve">receiving the request  </w:t>
            </w:r>
          </w:p>
          <w:p w14:paraId="255A01F4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13919503" w14:textId="77777777" w:rsidR="00E82704" w:rsidRDefault="00E82704" w:rsidP="00E82704">
            <w:pPr>
              <w:spacing w:after="4" w:line="236" w:lineRule="auto"/>
              <w:ind w:left="5" w:right="22" w:firstLine="0"/>
            </w:pPr>
            <w:r>
              <w:rPr>
                <w:b/>
                <w:sz w:val="20"/>
              </w:rPr>
              <w:t>A candidate’s mark/grade may stay the same, go up or go down.</w:t>
            </w:r>
            <w:r>
              <w:rPr>
                <w:sz w:val="20"/>
              </w:rPr>
              <w:t xml:space="preserve"> If the grade goes up, the candidate will receive a refund. </w:t>
            </w:r>
          </w:p>
          <w:p w14:paraId="0909A4DE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544FA" w14:paraId="16826D06" w14:textId="77777777" w:rsidTr="00E82704">
        <w:tc>
          <w:tcPr>
            <w:tcW w:w="3119" w:type="dxa"/>
          </w:tcPr>
          <w:p w14:paraId="6385F7B9" w14:textId="77777777" w:rsidR="00880024" w:rsidRDefault="00E82704" w:rsidP="00880024">
            <w:pPr>
              <w:ind w:left="4" w:firstLine="0"/>
            </w:pPr>
            <w:r>
              <w:rPr>
                <w:b/>
                <w:color w:val="0070C0"/>
                <w:sz w:val="20"/>
              </w:rPr>
              <w:t xml:space="preserve">Service 2 </w:t>
            </w:r>
            <w:r w:rsidR="00880024">
              <w:rPr>
                <w:b/>
                <w:color w:val="0070C0"/>
                <w:sz w:val="20"/>
              </w:rPr>
              <w:t xml:space="preserve">- </w:t>
            </w:r>
            <w:r w:rsidR="00880024">
              <w:rPr>
                <w:b/>
                <w:sz w:val="20"/>
              </w:rPr>
              <w:t xml:space="preserve">Review of </w:t>
            </w:r>
          </w:p>
          <w:p w14:paraId="7E53F32C" w14:textId="047B6C08" w:rsidR="00880024" w:rsidRDefault="00880024" w:rsidP="00880024">
            <w:pPr>
              <w:spacing w:line="236" w:lineRule="auto"/>
              <w:ind w:left="5" w:firstLine="0"/>
            </w:pPr>
            <w:r>
              <w:rPr>
                <w:b/>
                <w:sz w:val="20"/>
              </w:rPr>
              <w:t>Marking</w:t>
            </w:r>
            <w:r>
              <w:rPr>
                <w:b/>
                <w:sz w:val="20"/>
              </w:rPr>
              <w:t xml:space="preserve"> - This</w:t>
            </w:r>
            <w:r>
              <w:rPr>
                <w:sz w:val="20"/>
              </w:rPr>
              <w:t xml:space="preserve"> is</w:t>
            </w:r>
            <w:r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post-results review of the original marking to ensure that the agreed mark scheme has been applied </w:t>
            </w:r>
            <w:r>
              <w:rPr>
                <w:sz w:val="20"/>
              </w:rPr>
              <w:t>correctly.</w:t>
            </w:r>
          </w:p>
          <w:p w14:paraId="7ED7C292" w14:textId="03A86B87" w:rsidR="00E82704" w:rsidRDefault="00880024" w:rsidP="00880024">
            <w:pPr>
              <w:ind w:left="4" w:firstLine="0"/>
            </w:pPr>
            <w:r>
              <w:rPr>
                <w:sz w:val="20"/>
              </w:rPr>
              <w:t xml:space="preserve"> </w:t>
            </w:r>
            <w:r w:rsidRPr="00E82704">
              <w:rPr>
                <w:b/>
                <w:bCs/>
                <w:sz w:val="20"/>
              </w:rPr>
              <w:t>It is not a re-marking of the original script.</w:t>
            </w:r>
          </w:p>
          <w:p w14:paraId="5F79E1F6" w14:textId="393F93FC" w:rsidR="00A544FA" w:rsidRDefault="00A544FA" w:rsidP="00E82704">
            <w:pPr>
              <w:ind w:left="5" w:right="393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1DE7B53" w14:textId="61EBE377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  <w:tc>
          <w:tcPr>
            <w:tcW w:w="1100" w:type="dxa"/>
          </w:tcPr>
          <w:p w14:paraId="2F2DFAA4" w14:textId="499447CE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DB311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B3112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664" w:type="dxa"/>
          </w:tcPr>
          <w:p w14:paraId="29B5A1B4" w14:textId="4FC5C871" w:rsidR="00E82704" w:rsidRDefault="00E82704" w:rsidP="00E82704">
            <w:pPr>
              <w:spacing w:line="236" w:lineRule="auto"/>
              <w:ind w:left="0" w:right="31" w:firstLine="0"/>
            </w:pPr>
            <w:r>
              <w:rPr>
                <w:sz w:val="20"/>
              </w:rPr>
              <w:t xml:space="preserve">Within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 calendar days of the awarding body </w:t>
            </w:r>
          </w:p>
          <w:p w14:paraId="3809490A" w14:textId="77777777" w:rsidR="00E82704" w:rsidRDefault="00E82704" w:rsidP="00E82704">
            <w:pPr>
              <w:ind w:left="0" w:firstLine="0"/>
            </w:pPr>
            <w:r>
              <w:rPr>
                <w:sz w:val="20"/>
              </w:rPr>
              <w:t xml:space="preserve">receiving the request  </w:t>
            </w:r>
          </w:p>
          <w:p w14:paraId="11F5371A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074FABE7" w14:textId="40CABF2E" w:rsidR="00A544FA" w:rsidRDefault="00E8270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</w:tr>
      <w:tr w:rsidR="00A544FA" w14:paraId="17BB0AE7" w14:textId="77777777" w:rsidTr="00E82704">
        <w:tc>
          <w:tcPr>
            <w:tcW w:w="3119" w:type="dxa"/>
          </w:tcPr>
          <w:p w14:paraId="562FBBA3" w14:textId="3D6C7D4B" w:rsidR="00880024" w:rsidRDefault="00E82704" w:rsidP="00880024">
            <w:pPr>
              <w:ind w:left="5" w:firstLine="0"/>
            </w:pPr>
            <w:r>
              <w:rPr>
                <w:b/>
                <w:color w:val="0070C0"/>
                <w:sz w:val="20"/>
              </w:rPr>
              <w:t xml:space="preserve">Priority Service </w:t>
            </w:r>
            <w:r w:rsidR="00880024">
              <w:rPr>
                <w:b/>
                <w:color w:val="0070C0"/>
                <w:sz w:val="20"/>
              </w:rPr>
              <w:t xml:space="preserve">2P - </w:t>
            </w:r>
            <w:r w:rsidR="00880024">
              <w:rPr>
                <w:b/>
                <w:sz w:val="20"/>
              </w:rPr>
              <w:t xml:space="preserve">Review of Marking (GCE, </w:t>
            </w:r>
            <w:r w:rsidR="00880024">
              <w:rPr>
                <w:b/>
                <w:sz w:val="20"/>
              </w:rPr>
              <w:t>BTEC)</w:t>
            </w:r>
          </w:p>
          <w:p w14:paraId="359ED49D" w14:textId="3FE5E7A1" w:rsidR="00E82704" w:rsidRDefault="00E82704" w:rsidP="00E82704">
            <w:pPr>
              <w:ind w:left="5" w:firstLine="0"/>
            </w:pPr>
            <w:r>
              <w:rPr>
                <w:sz w:val="20"/>
              </w:rPr>
              <w:t xml:space="preserve">This is a priority post-results review of the original marking to ensure that the agreed mark scheme has been applied correctly. </w:t>
            </w:r>
            <w:r>
              <w:rPr>
                <w:b/>
                <w:sz w:val="20"/>
              </w:rPr>
              <w:t>It is not a re-marking of the candidate’s script</w:t>
            </w:r>
            <w:r>
              <w:rPr>
                <w:sz w:val="20"/>
              </w:rPr>
              <w:t xml:space="preserve">.  </w:t>
            </w:r>
            <w:r>
              <w:rPr>
                <w:b/>
                <w:sz w:val="20"/>
              </w:rPr>
              <w:t>It is only available if a GCE A-level/BTEC candidate’s place in higher education is dependent on the outcome.</w:t>
            </w:r>
          </w:p>
          <w:p w14:paraId="294F5B5C" w14:textId="77777777" w:rsidR="00E82704" w:rsidRDefault="00E82704" w:rsidP="00E82704">
            <w:pPr>
              <w:ind w:left="5" w:firstLine="0"/>
            </w:pPr>
            <w:r>
              <w:rPr>
                <w:sz w:val="20"/>
              </w:rPr>
              <w:t xml:space="preserve"> </w:t>
            </w:r>
          </w:p>
          <w:p w14:paraId="249D4A2F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4133C018" w14:textId="4A57CCCD" w:rsidR="00A544FA" w:rsidRDefault="007F427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  <w:tc>
          <w:tcPr>
            <w:tcW w:w="1100" w:type="dxa"/>
          </w:tcPr>
          <w:p w14:paraId="795D3C72" w14:textId="78D62E43" w:rsidR="00A544FA" w:rsidRDefault="007F4274" w:rsidP="00A544FA">
            <w:pPr>
              <w:ind w:left="0" w:firstLine="0"/>
              <w:rPr>
                <w:sz w:val="20"/>
                <w:szCs w:val="20"/>
              </w:rPr>
            </w:pPr>
            <w:r w:rsidRPr="00DB311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B3112">
              <w:rPr>
                <w:b/>
                <w:bCs/>
                <w:sz w:val="20"/>
                <w:szCs w:val="20"/>
              </w:rPr>
              <w:t xml:space="preserve"> Aug</w:t>
            </w:r>
          </w:p>
        </w:tc>
        <w:tc>
          <w:tcPr>
            <w:tcW w:w="1664" w:type="dxa"/>
          </w:tcPr>
          <w:p w14:paraId="7CF2FB85" w14:textId="1C2B0CF2" w:rsidR="007F4274" w:rsidRDefault="007F4274" w:rsidP="007F4274">
            <w:pPr>
              <w:spacing w:line="236" w:lineRule="auto"/>
              <w:ind w:left="0" w:right="37" w:firstLine="0"/>
            </w:pPr>
            <w:r>
              <w:rPr>
                <w:sz w:val="20"/>
              </w:rPr>
              <w:t>W</w:t>
            </w:r>
            <w:r>
              <w:rPr>
                <w:sz w:val="20"/>
              </w:rPr>
              <w:t xml:space="preserve">ithin 15 calendar days of the awarding body receiving the request.  If considering a priority review of marking, it is not recommended that a student requests a priority copy of the script first, as this may result in missing the deadline for a priority review. </w:t>
            </w:r>
          </w:p>
          <w:p w14:paraId="08E4D88E" w14:textId="77777777" w:rsidR="00A544FA" w:rsidRDefault="00A544FA" w:rsidP="00A544F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4E546BDE" w14:textId="0507FE6B" w:rsidR="00A544FA" w:rsidRDefault="007F4274" w:rsidP="00A544FA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</w:tr>
    </w:tbl>
    <w:p w14:paraId="0A8F0573" w14:textId="77777777" w:rsidR="00170BCD" w:rsidRPr="00170BCD" w:rsidRDefault="00170BCD" w:rsidP="00170BCD">
      <w:pPr>
        <w:pStyle w:val="Heading1"/>
        <w:spacing w:after="199"/>
        <w:ind w:left="-5"/>
        <w:rPr>
          <w:rFonts w:ascii="Tahoma" w:hAnsi="Tahoma" w:cs="Tahoma"/>
          <w:b/>
          <w:bCs/>
          <w:color w:val="auto"/>
          <w:sz w:val="22"/>
          <w:szCs w:val="22"/>
        </w:rPr>
      </w:pPr>
      <w:r w:rsidRPr="00170BCD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 xml:space="preserve">Access To Scripts </w:t>
      </w:r>
    </w:p>
    <w:p w14:paraId="2BD0C14E" w14:textId="27CBA80D" w:rsidR="00170BCD" w:rsidRDefault="00170BCD" w:rsidP="00170BCD">
      <w:pPr>
        <w:ind w:left="-5"/>
        <w:rPr>
          <w:sz w:val="20"/>
          <w:szCs w:val="20"/>
        </w:rPr>
      </w:pPr>
      <w:r w:rsidRPr="00170BCD">
        <w:rPr>
          <w:sz w:val="20"/>
          <w:szCs w:val="20"/>
        </w:rPr>
        <w:t xml:space="preserve">If you would like to see a copy of your exam paper before deciding on a review of marking, or would like to request an original copy for teaching and learning purposes, you may request one of the following </w:t>
      </w:r>
      <w:r w:rsidR="00F11BF7" w:rsidRPr="00170BCD">
        <w:rPr>
          <w:sz w:val="20"/>
          <w:szCs w:val="20"/>
        </w:rPr>
        <w:t>services: -</w:t>
      </w:r>
      <w:r w:rsidRPr="00170BCD">
        <w:rPr>
          <w:sz w:val="20"/>
          <w:szCs w:val="20"/>
        </w:rPr>
        <w:t xml:space="preserve"> </w:t>
      </w:r>
    </w:p>
    <w:p w14:paraId="47D16E9A" w14:textId="77777777" w:rsidR="00170BCD" w:rsidRDefault="00170BCD" w:rsidP="00170BCD">
      <w:pPr>
        <w:ind w:left="-5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589"/>
        <w:gridCol w:w="1312"/>
        <w:gridCol w:w="1647"/>
        <w:gridCol w:w="1789"/>
      </w:tblGrid>
      <w:tr w:rsidR="00170BCD" w:rsidRPr="00A544FA" w14:paraId="6CC99DC8" w14:textId="77777777" w:rsidTr="00390C75">
        <w:tc>
          <w:tcPr>
            <w:tcW w:w="3018" w:type="dxa"/>
          </w:tcPr>
          <w:p w14:paraId="17218739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589" w:type="dxa"/>
          </w:tcPr>
          <w:p w14:paraId="7C4D46B5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How to Make Request</w:t>
            </w:r>
          </w:p>
        </w:tc>
        <w:tc>
          <w:tcPr>
            <w:tcW w:w="1312" w:type="dxa"/>
          </w:tcPr>
          <w:p w14:paraId="3B9E8604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1647" w:type="dxa"/>
          </w:tcPr>
          <w:p w14:paraId="4B880F75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1789" w:type="dxa"/>
          </w:tcPr>
          <w:p w14:paraId="3DC5EAB3" w14:textId="77777777" w:rsidR="00170BCD" w:rsidRPr="00A544FA" w:rsidRDefault="00170BCD" w:rsidP="007C6362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A544FA">
              <w:rPr>
                <w:b/>
                <w:bCs/>
                <w:sz w:val="20"/>
                <w:szCs w:val="20"/>
              </w:rPr>
              <w:t>Other Notes</w:t>
            </w:r>
          </w:p>
        </w:tc>
      </w:tr>
      <w:tr w:rsidR="00170BCD" w14:paraId="262BD41E" w14:textId="77777777" w:rsidTr="00390C75">
        <w:tc>
          <w:tcPr>
            <w:tcW w:w="3018" w:type="dxa"/>
          </w:tcPr>
          <w:p w14:paraId="0660B078" w14:textId="77777777" w:rsidR="00170BCD" w:rsidRDefault="00170BCD" w:rsidP="00170BCD">
            <w:pPr>
              <w:ind w:left="4" w:firstLine="0"/>
            </w:pPr>
            <w:r>
              <w:rPr>
                <w:b/>
                <w:sz w:val="20"/>
              </w:rPr>
              <w:t xml:space="preserve">Access to Priority </w:t>
            </w:r>
          </w:p>
          <w:p w14:paraId="465E8FDC" w14:textId="09E5142F" w:rsidR="00170BCD" w:rsidRDefault="00170BCD" w:rsidP="00170BCD">
            <w:pPr>
              <w:ind w:left="4" w:firstLine="0"/>
            </w:pPr>
            <w:r>
              <w:rPr>
                <w:b/>
                <w:sz w:val="20"/>
              </w:rPr>
              <w:t xml:space="preserve">Copy of Scripts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 xml:space="preserve">This service allows you to request an urgent copy of an exam paper so you can </w:t>
            </w:r>
            <w:r w:rsidR="00F11BF7">
              <w:rPr>
                <w:sz w:val="20"/>
              </w:rPr>
              <w:t>decide</w:t>
            </w:r>
            <w:r>
              <w:rPr>
                <w:sz w:val="20"/>
              </w:rPr>
              <w:t xml:space="preserve"> whether to apply for a review of marking.  </w:t>
            </w:r>
            <w:r>
              <w:rPr>
                <w:b/>
                <w:sz w:val="20"/>
              </w:rPr>
              <w:t xml:space="preserve"> </w:t>
            </w:r>
          </w:p>
          <w:p w14:paraId="3D347042" w14:textId="77777777" w:rsidR="00170BCD" w:rsidRDefault="00170BCD" w:rsidP="007C6362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74E6EA43" w14:textId="6C14BE71" w:rsidR="00170BCD" w:rsidRDefault="00170BCD" w:rsidP="007C6362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Complete the ‘Access to Scripts</w:t>
            </w:r>
            <w:r w:rsidR="00F11BF7">
              <w:rPr>
                <w:sz w:val="20"/>
              </w:rPr>
              <w:t>’</w:t>
            </w:r>
            <w:r>
              <w:rPr>
                <w:sz w:val="20"/>
              </w:rPr>
              <w:t xml:space="preserve"> </w:t>
            </w:r>
            <w:r w:rsidR="00F11BF7">
              <w:rPr>
                <w:sz w:val="20"/>
              </w:rPr>
              <w:t>form</w:t>
            </w:r>
            <w:r>
              <w:rPr>
                <w:sz w:val="20"/>
              </w:rPr>
              <w:t xml:space="preserve"> (or email the exams officer) and give to the exams officer by the deadline date. Forms can be found on the school website or from the exam office.  </w:t>
            </w:r>
          </w:p>
        </w:tc>
        <w:tc>
          <w:tcPr>
            <w:tcW w:w="1312" w:type="dxa"/>
          </w:tcPr>
          <w:p w14:paraId="57990474" w14:textId="423DE30A" w:rsidR="00170BCD" w:rsidRPr="0011565D" w:rsidRDefault="00170BCD" w:rsidP="00170BCD">
            <w:pPr>
              <w:ind w:left="0" w:firstLine="0"/>
              <w:rPr>
                <w:b/>
                <w:bCs/>
                <w:sz w:val="20"/>
              </w:rPr>
            </w:pPr>
            <w:r w:rsidRPr="0011565D">
              <w:rPr>
                <w:b/>
                <w:bCs/>
                <w:sz w:val="20"/>
              </w:rPr>
              <w:t xml:space="preserve">GCE </w:t>
            </w:r>
            <w:r>
              <w:rPr>
                <w:b/>
                <w:bCs/>
                <w:sz w:val="20"/>
              </w:rPr>
              <w:t>29</w:t>
            </w:r>
            <w:r w:rsidR="00390C75">
              <w:rPr>
                <w:b/>
                <w:bCs/>
                <w:sz w:val="20"/>
              </w:rPr>
              <w:t xml:space="preserve"> </w:t>
            </w:r>
            <w:r w:rsidRPr="0011565D">
              <w:rPr>
                <w:b/>
                <w:bCs/>
                <w:sz w:val="20"/>
              </w:rPr>
              <w:t>Aug</w:t>
            </w:r>
          </w:p>
          <w:p w14:paraId="244CAD22" w14:textId="77777777" w:rsidR="00170BCD" w:rsidRPr="0011565D" w:rsidRDefault="00170BCD" w:rsidP="00170BCD">
            <w:pPr>
              <w:ind w:left="0" w:firstLine="0"/>
              <w:rPr>
                <w:b/>
                <w:bCs/>
                <w:sz w:val="20"/>
              </w:rPr>
            </w:pPr>
          </w:p>
          <w:p w14:paraId="2C9AC6C5" w14:textId="77777777" w:rsidR="00170BCD" w:rsidRPr="0011565D" w:rsidRDefault="00170BCD" w:rsidP="00170BCD">
            <w:pPr>
              <w:ind w:left="0" w:firstLine="0"/>
              <w:rPr>
                <w:b/>
                <w:bCs/>
                <w:sz w:val="20"/>
              </w:rPr>
            </w:pPr>
          </w:p>
          <w:p w14:paraId="59B60772" w14:textId="32BCC55F" w:rsidR="00170BCD" w:rsidRDefault="00170BCD" w:rsidP="00170BCD">
            <w:pPr>
              <w:ind w:left="0" w:firstLine="0"/>
              <w:rPr>
                <w:sz w:val="20"/>
                <w:szCs w:val="20"/>
              </w:rPr>
            </w:pPr>
            <w:r w:rsidRPr="0011565D">
              <w:rPr>
                <w:b/>
                <w:bCs/>
                <w:sz w:val="20"/>
              </w:rPr>
              <w:t xml:space="preserve">GCSE </w:t>
            </w:r>
            <w:r>
              <w:rPr>
                <w:b/>
                <w:bCs/>
                <w:sz w:val="20"/>
              </w:rPr>
              <w:t>5</w:t>
            </w:r>
            <w:r w:rsidR="00390C75">
              <w:rPr>
                <w:b/>
                <w:bCs/>
                <w:sz w:val="20"/>
              </w:rPr>
              <w:t xml:space="preserve"> </w:t>
            </w:r>
            <w:r w:rsidRPr="0011565D">
              <w:rPr>
                <w:b/>
                <w:bCs/>
                <w:sz w:val="20"/>
              </w:rPr>
              <w:t>Sept</w:t>
            </w:r>
          </w:p>
        </w:tc>
        <w:tc>
          <w:tcPr>
            <w:tcW w:w="1647" w:type="dxa"/>
          </w:tcPr>
          <w:p w14:paraId="391A2E6B" w14:textId="238B838E" w:rsidR="00170BCD" w:rsidRDefault="00390C75" w:rsidP="007C636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Normally within a couple of days</w:t>
            </w:r>
          </w:p>
        </w:tc>
        <w:tc>
          <w:tcPr>
            <w:tcW w:w="1789" w:type="dxa"/>
          </w:tcPr>
          <w:p w14:paraId="390F974A" w14:textId="77777777" w:rsidR="00170BCD" w:rsidRDefault="00170BCD" w:rsidP="007C636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390C75" w14:paraId="68309658" w14:textId="77777777" w:rsidTr="00390C75">
        <w:tc>
          <w:tcPr>
            <w:tcW w:w="3018" w:type="dxa"/>
          </w:tcPr>
          <w:p w14:paraId="2ECEAACE" w14:textId="77777777" w:rsidR="00390C75" w:rsidRDefault="00390C75" w:rsidP="00390C75">
            <w:pPr>
              <w:spacing w:line="235" w:lineRule="auto"/>
              <w:ind w:left="4" w:firstLine="0"/>
              <w:jc w:val="both"/>
            </w:pPr>
            <w:r>
              <w:rPr>
                <w:b/>
                <w:sz w:val="20"/>
              </w:rPr>
              <w:t>Access to original script</w:t>
            </w:r>
          </w:p>
          <w:p w14:paraId="1B17ABC9" w14:textId="77777777" w:rsidR="00390C75" w:rsidRDefault="00390C75" w:rsidP="00390C75">
            <w:pPr>
              <w:ind w:left="5" w:right="58" w:firstLine="0"/>
              <w:rPr>
                <w:sz w:val="20"/>
              </w:rPr>
            </w:pPr>
            <w:r>
              <w:rPr>
                <w:sz w:val="20"/>
              </w:rPr>
              <w:t xml:space="preserve">This service allows you or your subject teacher to request a non-urgent copy of the exam paper.  </w:t>
            </w:r>
          </w:p>
          <w:p w14:paraId="7625EBCC" w14:textId="77777777" w:rsidR="00390C75" w:rsidRDefault="00390C75" w:rsidP="00390C75">
            <w:pPr>
              <w:ind w:left="5" w:right="58" w:firstLine="0"/>
            </w:pPr>
          </w:p>
          <w:p w14:paraId="7B0E2901" w14:textId="27D3F0A4" w:rsidR="00390C75" w:rsidRDefault="00390C75" w:rsidP="00390C75">
            <w:pPr>
              <w:ind w:left="5" w:right="39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request the original script, you may not proceed with a review of marking.</w:t>
            </w:r>
          </w:p>
        </w:tc>
        <w:tc>
          <w:tcPr>
            <w:tcW w:w="1589" w:type="dxa"/>
          </w:tcPr>
          <w:p w14:paraId="6947FA8E" w14:textId="15A5741F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  <w:r w:rsidRPr="00C45C76">
              <w:rPr>
                <w:sz w:val="20"/>
                <w:szCs w:val="20"/>
              </w:rPr>
              <w:t>As above</w:t>
            </w:r>
          </w:p>
        </w:tc>
        <w:tc>
          <w:tcPr>
            <w:tcW w:w="1312" w:type="dxa"/>
          </w:tcPr>
          <w:p w14:paraId="096408B5" w14:textId="6D281B57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  <w:r w:rsidRPr="0011565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11565D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647" w:type="dxa"/>
          </w:tcPr>
          <w:p w14:paraId="02CE1E52" w14:textId="57503612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Normally within a couple of days</w:t>
            </w:r>
          </w:p>
        </w:tc>
        <w:tc>
          <w:tcPr>
            <w:tcW w:w="1789" w:type="dxa"/>
          </w:tcPr>
          <w:p w14:paraId="2D307B84" w14:textId="77777777" w:rsidR="00390C75" w:rsidRDefault="00390C75" w:rsidP="00390C75">
            <w:pPr>
              <w:spacing w:after="4" w:line="236" w:lineRule="auto"/>
              <w:ind w:left="0" w:firstLine="0"/>
            </w:pPr>
            <w:r>
              <w:rPr>
                <w:sz w:val="20"/>
              </w:rPr>
              <w:t xml:space="preserve">Do not use this service if thinking of having the paper reviewed. </w:t>
            </w:r>
          </w:p>
          <w:p w14:paraId="37FF3897" w14:textId="77777777" w:rsidR="00390C75" w:rsidRDefault="00390C75" w:rsidP="00390C75">
            <w:pPr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52AD730" w14:textId="77777777" w:rsidR="00390C75" w:rsidRDefault="00390C75" w:rsidP="00390C75">
            <w:pPr>
              <w:spacing w:after="4" w:line="235" w:lineRule="auto"/>
              <w:ind w:left="0" w:firstLine="0"/>
            </w:pPr>
            <w:r>
              <w:rPr>
                <w:sz w:val="20"/>
              </w:rPr>
              <w:t xml:space="preserve">If a teacher requests a script to support teaching and learning purposes, they will need the candidate’s consent and the candidate can ask that the script remain anonymous if used in the classroom. </w:t>
            </w:r>
          </w:p>
          <w:p w14:paraId="386DD27B" w14:textId="6B9816CE" w:rsidR="00390C75" w:rsidRDefault="00390C75" w:rsidP="00390C75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5F2B31C7" w14:textId="77777777" w:rsidR="00170BCD" w:rsidRPr="00170BCD" w:rsidRDefault="00170BCD" w:rsidP="00170BCD">
      <w:pPr>
        <w:ind w:left="-5"/>
        <w:rPr>
          <w:sz w:val="20"/>
          <w:szCs w:val="20"/>
        </w:rPr>
      </w:pPr>
    </w:p>
    <w:p w14:paraId="05A84A51" w14:textId="77777777" w:rsidR="00A544FA" w:rsidRDefault="00A544FA" w:rsidP="00A544FA">
      <w:pPr>
        <w:ind w:left="0" w:firstLine="0"/>
      </w:pPr>
      <w:r>
        <w:rPr>
          <w:b/>
          <w:sz w:val="24"/>
        </w:rPr>
        <w:t xml:space="preserve"> </w:t>
      </w:r>
    </w:p>
    <w:p w14:paraId="2A5470C1" w14:textId="2437A665" w:rsidR="00A544FA" w:rsidRPr="00A544FA" w:rsidRDefault="00A544FA" w:rsidP="00A544FA">
      <w:pPr>
        <w:pStyle w:val="Heading1"/>
        <w:ind w:left="-5"/>
        <w:rPr>
          <w:rFonts w:ascii="Tahoma" w:hAnsi="Tahoma" w:cs="Tahoma"/>
          <w:color w:val="auto"/>
          <w:sz w:val="20"/>
          <w:szCs w:val="20"/>
        </w:rPr>
      </w:pPr>
    </w:p>
    <w:p w14:paraId="0476603A" w14:textId="77777777" w:rsidR="00A544FA" w:rsidRDefault="00A544FA" w:rsidP="00A544FA">
      <w:pPr>
        <w:ind w:left="0" w:firstLine="0"/>
      </w:pPr>
      <w:r>
        <w:rPr>
          <w:b/>
          <w:sz w:val="24"/>
        </w:rPr>
        <w:t xml:space="preserve"> </w:t>
      </w:r>
    </w:p>
    <w:p w14:paraId="0845617E" w14:textId="77777777" w:rsidR="00D25B86" w:rsidRPr="00FB1555" w:rsidRDefault="00D25B86" w:rsidP="00FB1555">
      <w:pPr>
        <w:spacing w:line="240" w:lineRule="auto"/>
        <w:rPr>
          <w:sz w:val="24"/>
        </w:rPr>
      </w:pPr>
    </w:p>
    <w:sectPr w:rsidR="00D25B86" w:rsidRPr="00FB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FA"/>
    <w:rsid w:val="00170BCD"/>
    <w:rsid w:val="00390C75"/>
    <w:rsid w:val="00393985"/>
    <w:rsid w:val="007F4274"/>
    <w:rsid w:val="00880024"/>
    <w:rsid w:val="00A544FA"/>
    <w:rsid w:val="00D25B86"/>
    <w:rsid w:val="00E82704"/>
    <w:rsid w:val="00F11BF7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04C9"/>
  <w15:chartTrackingRefBased/>
  <w15:docId w15:val="{90B16467-17CB-4815-AA97-FEE124E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FA"/>
    <w:pPr>
      <w:spacing w:after="0"/>
      <w:ind w:left="10" w:hanging="10"/>
    </w:pPr>
    <w:rPr>
      <w:rFonts w:ascii="Tahoma" w:eastAsia="Tahoma" w:hAnsi="Tahoma" w:cs="Tahoma"/>
      <w:color w:val="00000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4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4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4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4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4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4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4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4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4F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4F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4F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4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4F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4F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4</cp:revision>
  <dcterms:created xsi:type="dcterms:W3CDTF">2024-07-02T09:45:00Z</dcterms:created>
  <dcterms:modified xsi:type="dcterms:W3CDTF">2024-07-02T10:30:00Z</dcterms:modified>
</cp:coreProperties>
</file>